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DE2BDE" w:rsidP="006300C9">
            <w:r w:rsidRPr="00DE2BDE">
              <w:t>Қауіпсіздікті қамтамасыз ету жүйелерін есептеу және жобалау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65100A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FB04B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мәселелері бойынша </w:t>
            </w:r>
            <w:r w:rsidRPr="003F2050">
              <w:rPr>
                <w:lang w:val="kk-KZ"/>
              </w:rPr>
              <w:lastRenderedPageBreak/>
              <w:t>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D67C08">
              <w:rPr>
                <w:lang w:val="kk-KZ"/>
              </w:rPr>
              <w:t xml:space="preserve">сенімділік 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D67C08" w:rsidRPr="00D8070D">
              <w:rPr>
                <w:lang w:val="kk-KZ"/>
              </w:rPr>
              <w:t>анықтау;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FB04B0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FB04B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FB04B0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FB04B0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FB0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93"/>
        <w:gridCol w:w="81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8B5730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8B5730">
            <w:r w:rsidRPr="006300C9">
              <w:rPr>
                <w:sz w:val="24"/>
              </w:rPr>
              <w:t>Д.</w:t>
            </w:r>
            <w:r w:rsidR="00DE2BDE" w:rsidRPr="0066623B">
              <w:rPr>
                <w:b/>
                <w:color w:val="000000" w:themeColor="text1"/>
              </w:rPr>
              <w:t xml:space="preserve"> </w:t>
            </w:r>
            <w:r w:rsidR="008B5730" w:rsidRPr="008B5730">
              <w:rPr>
                <w:color w:val="000000"/>
                <w:sz w:val="24"/>
                <w:szCs w:val="28"/>
                <w:lang w:val="kk-KZ"/>
              </w:rPr>
              <w:t>Пәнге кіріспе. Қауіпсіздікті қамтамасыз ету жүйелеріне шолу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B5730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8B5730">
              <w:rPr>
                <w:rFonts w:eastAsia="Arial Unicode MS"/>
                <w:bCs/>
                <w:lang w:val="kk-KZ"/>
              </w:rPr>
              <w:t>Қауіпсіздік құрылғыларын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8B57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DB23FF" w:rsidP="00105E29">
            <w:pPr>
              <w:rPr>
                <w:b/>
                <w:sz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8B5730" w:rsidRPr="000E169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B5730" w:rsidRPr="008B5730">
              <w:rPr>
                <w:color w:val="000000"/>
                <w:sz w:val="24"/>
                <w:szCs w:val="28"/>
                <w:lang w:val="kk-KZ"/>
              </w:rPr>
              <w:t>Жетекті жобалау принциптері. Жобалау фазалары мен кезеңдері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105E29" w:rsidRDefault="00571FCC" w:rsidP="00105E29">
            <w:pPr>
              <w:rPr>
                <w:b/>
                <w:color w:val="000000" w:themeColor="text1"/>
                <w:sz w:val="22"/>
                <w:lang w:val="kk-KZ"/>
              </w:rPr>
            </w:pPr>
            <w:r w:rsidRPr="00105E2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105E29">
              <w:rPr>
                <w:b/>
                <w:color w:val="000000" w:themeColor="text1"/>
                <w:sz w:val="22"/>
              </w:rPr>
              <w:t>С</w:t>
            </w:r>
            <w:r w:rsidR="00DB23FF" w:rsidRPr="008B5730">
              <w:rPr>
                <w:b/>
                <w:color w:val="000000" w:themeColor="text1"/>
                <w:sz w:val="28"/>
              </w:rPr>
              <w:t xml:space="preserve"> </w:t>
            </w:r>
            <w:r w:rsidR="00105E29" w:rsidRPr="008B5730">
              <w:rPr>
                <w:rFonts w:eastAsia="Arial Unicode MS"/>
                <w:bCs/>
                <w:sz w:val="24"/>
                <w:lang w:val="kk-KZ"/>
              </w:rPr>
              <w:t>Қауіпсіздік құрылғыларын есептеу</w:t>
            </w:r>
          </w:p>
          <w:p w:rsidR="00105E29" w:rsidRPr="00105E29" w:rsidRDefault="00105E29" w:rsidP="00105E29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8B5730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105E2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8B5730" w:rsidRPr="000E169C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8B5730" w:rsidRPr="008B5730">
              <w:rPr>
                <w:color w:val="000000"/>
                <w:sz w:val="24"/>
                <w:szCs w:val="28"/>
                <w:lang w:val="kk-KZ"/>
              </w:rPr>
              <w:t>Параметрлер есебі. Шығын мәліметтерін құру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105E29">
            <w:pPr>
              <w:jc w:val="both"/>
              <w:rPr>
                <w:b/>
                <w:color w:val="000000" w:themeColor="text1"/>
                <w:sz w:val="22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105E29" w:rsidRPr="008B5730">
              <w:rPr>
                <w:rFonts w:eastAsia="Arial Unicode MS"/>
                <w:bCs/>
                <w:sz w:val="24"/>
                <w:lang w:val="kk-KZ"/>
              </w:rPr>
              <w:t>Қауіпсіздік құрылғыларын есептеу</w:t>
            </w:r>
          </w:p>
          <w:p w:rsidR="00105E29" w:rsidRPr="00105E29" w:rsidRDefault="00105E29" w:rsidP="00105E29">
            <w:pPr>
              <w:spacing w:line="228" w:lineRule="exact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8B57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8B5730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105E2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8B5730" w:rsidRPr="000E169C">
              <w:rPr>
                <w:color w:val="000000"/>
                <w:sz w:val="28"/>
                <w:szCs w:val="28"/>
                <w:lang w:val="kk-KZ"/>
              </w:rPr>
              <w:t xml:space="preserve"> Қысым реттегіштерді жобалау және оларды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8B573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Default="00571FCC" w:rsidP="00105E29">
            <w:pPr>
              <w:spacing w:line="228" w:lineRule="exact"/>
              <w:rPr>
                <w:rFonts w:eastAsia="Arial Unicode MS"/>
                <w:bCs/>
                <w:color w:val="373737"/>
                <w:sz w:val="24"/>
                <w:szCs w:val="24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="00105E29" w:rsidRPr="00105E29">
              <w:rPr>
                <w:rFonts w:eastAsia="Arial Unicode MS"/>
                <w:bCs/>
                <w:color w:val="373737"/>
                <w:sz w:val="24"/>
                <w:szCs w:val="24"/>
                <w:lang w:val="kk-KZ"/>
              </w:rPr>
              <w:t xml:space="preserve"> </w:t>
            </w:r>
          </w:p>
          <w:p w:rsidR="00105E29" w:rsidRPr="008B5730" w:rsidRDefault="00105E29" w:rsidP="008B5730">
            <w:pPr>
              <w:pStyle w:val="afe"/>
              <w:rPr>
                <w:sz w:val="24"/>
                <w:lang w:val="kk-KZ"/>
              </w:rPr>
            </w:pPr>
            <w:r w:rsidRPr="008B5730">
              <w:rPr>
                <w:rFonts w:eastAsia="Arial Unicode MS"/>
                <w:sz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Default="00C43E65" w:rsidP="00105E29">
            <w:pPr>
              <w:jc w:val="both"/>
              <w:rPr>
                <w:b/>
                <w:color w:val="000000" w:themeColor="text1"/>
                <w:sz w:val="24"/>
                <w:lang w:val="kk-KZ"/>
              </w:rPr>
            </w:pPr>
          </w:p>
          <w:p w:rsidR="00105E29" w:rsidRPr="00105E29" w:rsidRDefault="00105E29" w:rsidP="00105E29">
            <w:pPr>
              <w:spacing w:line="255" w:lineRule="exact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8B5730" w:rsidP="0006538A">
            <w:pPr>
              <w:jc w:val="center"/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105E2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8B5730" w:rsidRPr="000E169C">
              <w:rPr>
                <w:color w:val="000000"/>
                <w:sz w:val="28"/>
                <w:szCs w:val="28"/>
                <w:lang w:val="kk-KZ"/>
              </w:rPr>
              <w:t xml:space="preserve"> Шығын реттегіштерді жобалау және оларды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Default="00571FCC" w:rsidP="00105E29">
            <w:pPr>
              <w:spacing w:line="228" w:lineRule="exact"/>
              <w:rPr>
                <w:b/>
                <w:color w:val="000000" w:themeColor="text1"/>
                <w:sz w:val="24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</w:p>
          <w:p w:rsidR="00105E29" w:rsidRPr="008B5730" w:rsidRDefault="00105E29" w:rsidP="008B5730">
            <w:pPr>
              <w:pStyle w:val="afe"/>
              <w:rPr>
                <w:sz w:val="24"/>
                <w:lang w:val="kk-KZ"/>
              </w:rPr>
            </w:pPr>
            <w:r w:rsidRPr="008B5730">
              <w:rPr>
                <w:rFonts w:eastAsia="Arial Unicode MS"/>
                <w:sz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Default="00C43E65" w:rsidP="00105E29">
            <w:pPr>
              <w:rPr>
                <w:b/>
                <w:color w:val="000000" w:themeColor="text1"/>
                <w:sz w:val="24"/>
                <w:lang w:val="kk-KZ"/>
              </w:rPr>
            </w:pPr>
          </w:p>
          <w:p w:rsidR="00105E29" w:rsidRPr="00105E29" w:rsidRDefault="00105E29" w:rsidP="00105E29">
            <w:pPr>
              <w:spacing w:line="268" w:lineRule="exact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8B5730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E548F4" w:rsidTr="008B5730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8B57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24AA2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8B5730" w:rsidRPr="00E3080F">
              <w:rPr>
                <w:color w:val="000000"/>
                <w:sz w:val="28"/>
                <w:szCs w:val="28"/>
                <w:lang w:val="kk-KZ"/>
              </w:rPr>
              <w:t xml:space="preserve"> Гидрожетектер және пневможетектердің көрсеткіштерін өлшеу әдістері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Default="00571FCC" w:rsidP="00105E29">
            <w:pPr>
              <w:spacing w:line="255" w:lineRule="exact"/>
              <w:rPr>
                <w:b/>
                <w:color w:val="000000" w:themeColor="text1"/>
                <w:sz w:val="24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</w:p>
          <w:p w:rsidR="00105E29" w:rsidRPr="00A17DF6" w:rsidRDefault="00105E29" w:rsidP="00105E29">
            <w:pPr>
              <w:spacing w:line="255" w:lineRule="exact"/>
              <w:rPr>
                <w:sz w:val="24"/>
                <w:szCs w:val="24"/>
              </w:rPr>
            </w:pPr>
            <w:r w:rsidRPr="00A17DF6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C43E65" w:rsidRDefault="00C43E65" w:rsidP="00105E29">
            <w:pPr>
              <w:jc w:val="both"/>
              <w:rPr>
                <w:b/>
                <w:color w:val="000000" w:themeColor="text1"/>
                <w:sz w:val="24"/>
                <w:lang w:val="kk-KZ"/>
              </w:rPr>
            </w:pPr>
          </w:p>
          <w:p w:rsidR="00105E29" w:rsidRPr="00105E29" w:rsidRDefault="00105E29" w:rsidP="00105E29">
            <w:pPr>
              <w:spacing w:line="228" w:lineRule="exact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8B57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Default="00DB23FF" w:rsidP="008B5730">
            <w:pPr>
              <w:rPr>
                <w:color w:val="000000"/>
                <w:sz w:val="28"/>
                <w:szCs w:val="28"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8B5730" w:rsidRPr="000E169C">
              <w:rPr>
                <w:color w:val="000000"/>
                <w:sz w:val="28"/>
                <w:szCs w:val="28"/>
                <w:lang w:val="kk-KZ"/>
              </w:rPr>
              <w:t>Газдардың және сұйықтықтардың  шығынын және санын өлшеу</w:t>
            </w:r>
          </w:p>
          <w:p w:rsidR="00C43E65" w:rsidRPr="00357F04" w:rsidRDefault="00C43E65" w:rsidP="00105E29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A17DF6" w:rsidRDefault="00571FCC" w:rsidP="00B3036F">
            <w:pPr>
              <w:spacing w:line="255" w:lineRule="exact"/>
              <w:rPr>
                <w:sz w:val="24"/>
                <w:szCs w:val="24"/>
              </w:rPr>
            </w:pPr>
            <w:r w:rsidRPr="00B3036F">
              <w:rPr>
                <w:color w:val="000000" w:themeColor="text1"/>
                <w:sz w:val="24"/>
                <w:lang w:val="kk-KZ"/>
              </w:rPr>
              <w:t>С</w:t>
            </w:r>
            <w:r w:rsidR="00DB23FF" w:rsidRPr="00B3036F">
              <w:rPr>
                <w:color w:val="000000" w:themeColor="text1"/>
                <w:sz w:val="24"/>
              </w:rPr>
              <w:t xml:space="preserve">С </w:t>
            </w:r>
            <w:r w:rsidR="00B3036F" w:rsidRPr="00A17DF6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105E29" w:rsidRPr="00B3036F" w:rsidRDefault="00105E29" w:rsidP="00105E29">
            <w:pPr>
              <w:rPr>
                <w:color w:val="000000" w:themeColor="text1"/>
                <w:sz w:val="24"/>
                <w:lang w:val="kk-KZ"/>
              </w:rPr>
            </w:pPr>
          </w:p>
          <w:p w:rsidR="00E548F4" w:rsidRDefault="00E548F4" w:rsidP="006300C9">
            <w:pPr>
              <w:rPr>
                <w:lang w:val="kk-KZ"/>
              </w:rPr>
            </w:pPr>
          </w:p>
          <w:p w:rsidR="00105E29" w:rsidRPr="00105E29" w:rsidRDefault="00105E29" w:rsidP="006300C9">
            <w:pPr>
              <w:rPr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8B57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Default="00DB23FF" w:rsidP="008B5730">
            <w:pPr>
              <w:rPr>
                <w:color w:val="000000"/>
                <w:sz w:val="28"/>
                <w:szCs w:val="28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>Өлшеу құралдарын жобалау және есептеу</w:t>
            </w:r>
          </w:p>
          <w:p w:rsidR="00C43E65" w:rsidRPr="00357F04" w:rsidRDefault="00C43E65" w:rsidP="00105E2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B3036F" w:rsidRPr="00A17DF6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Default="00DB23FF" w:rsidP="00D254A6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E548F4" w:rsidP="00105E29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A17DF6" w:rsidRDefault="00DB23FF" w:rsidP="00B3036F">
            <w:pPr>
              <w:spacing w:line="268" w:lineRule="exact"/>
              <w:rPr>
                <w:sz w:val="24"/>
                <w:szCs w:val="24"/>
              </w:rPr>
            </w:pPr>
            <w:r w:rsidRPr="006300C9">
              <w:rPr>
                <w:b/>
                <w:sz w:val="24"/>
              </w:rPr>
              <w:t>Д.</w:t>
            </w:r>
            <w:r w:rsidR="00B3036F" w:rsidRPr="00A17DF6">
              <w:rPr>
                <w:rFonts w:eastAsia="Arial Unicode MS"/>
                <w:bCs/>
              </w:rPr>
              <w:t xml:space="preserve"> 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>Өлшеу құралдарын таңдау</w:t>
            </w:r>
          </w:p>
          <w:p w:rsidR="00C43E65" w:rsidRPr="00357F04" w:rsidRDefault="00C43E65" w:rsidP="00105E29">
            <w:pPr>
              <w:rPr>
                <w:b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B73B41">
            <w:pPr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</w:p>
          <w:p w:rsidR="00B73B41" w:rsidRPr="00B73B41" w:rsidRDefault="00B3036F" w:rsidP="00B73B41">
            <w:pPr>
              <w:rPr>
                <w:lang w:val="kk-KZ"/>
              </w:rPr>
            </w:pPr>
            <w:r w:rsidRPr="00A17DF6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105E29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 xml:space="preserve"> Пневможетектерді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357F04" w:rsidRDefault="00571FCC" w:rsidP="00105E29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</w:p>
          <w:p w:rsidR="00B3036F" w:rsidRPr="00A17DF6" w:rsidRDefault="00B3036F" w:rsidP="00B3036F">
            <w:pPr>
              <w:spacing w:line="228" w:lineRule="exact"/>
              <w:rPr>
                <w:sz w:val="24"/>
                <w:szCs w:val="24"/>
              </w:rPr>
            </w:pPr>
            <w:r w:rsidRPr="00A17DF6">
              <w:rPr>
                <w:rFonts w:eastAsia="Arial Unicode MS"/>
                <w:bCs/>
                <w:sz w:val="24"/>
                <w:szCs w:val="24"/>
              </w:rPr>
              <w:t>Ғимараттар мен құрылыстардың найзағайдан қорғаныс құралдарын есептеу</w:t>
            </w:r>
          </w:p>
          <w:p w:rsidR="009532EB" w:rsidRPr="00357F04" w:rsidRDefault="009532EB" w:rsidP="00954C15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105E2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 xml:space="preserve"> Қысымын тудыруға</w:t>
            </w:r>
            <w:r w:rsidR="008B5730" w:rsidRPr="00A709A8">
              <w:rPr>
                <w:color w:val="000000"/>
                <w:sz w:val="28"/>
                <w:szCs w:val="28"/>
                <w:lang w:val="kk-KZ"/>
              </w:rPr>
              <w:t xml:space="preserve"> арналған машина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>ларды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A17DF6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9532EB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9532EB">
              <w:rPr>
                <w:b/>
                <w:color w:val="000000" w:themeColor="text1"/>
                <w:sz w:val="22"/>
              </w:rPr>
              <w:t>С</w:t>
            </w:r>
            <w:r w:rsidR="00B3036F" w:rsidRPr="00A17DF6">
              <w:rPr>
                <w:rFonts w:eastAsia="Arial Unicode MS"/>
                <w:bCs/>
              </w:rPr>
              <w:t xml:space="preserve"> </w:t>
            </w:r>
            <w:r w:rsidR="00B3036F" w:rsidRPr="00A17DF6">
              <w:rPr>
                <w:rFonts w:eastAsia="Arial Unicode MS"/>
                <w:bCs/>
                <w:sz w:val="24"/>
                <w:szCs w:val="24"/>
              </w:rPr>
              <w:t>Ғимараттар мен құрылыстардың найзағайдан қорғаныс құралдарын есептеу</w:t>
            </w:r>
          </w:p>
          <w:p w:rsidR="00C43E65" w:rsidRPr="00B3036F" w:rsidRDefault="00C43E65" w:rsidP="00105E29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Default="00DB23FF" w:rsidP="008B573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9532EB">
              <w:rPr>
                <w:b/>
                <w:sz w:val="24"/>
              </w:rPr>
              <w:t>Д.</w:t>
            </w:r>
            <w:r w:rsidR="008B5730" w:rsidRPr="00D746CF">
              <w:rPr>
                <w:color w:val="000000"/>
                <w:sz w:val="28"/>
                <w:szCs w:val="28"/>
                <w:lang w:val="kk-KZ"/>
              </w:rPr>
              <w:t xml:space="preserve"> Гидро және  пневможетектерді  сынау және  пайдалану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 xml:space="preserve">. </w:t>
            </w:r>
            <w:r w:rsidR="008B5730" w:rsidRPr="00D746CF">
              <w:rPr>
                <w:color w:val="000000"/>
                <w:sz w:val="28"/>
                <w:szCs w:val="28"/>
                <w:lang w:val="kk-KZ"/>
              </w:rPr>
              <w:t xml:space="preserve"> Жетектерді  сынау  және  қолданудағы қауіпсіздік талаптары</w:t>
            </w:r>
          </w:p>
          <w:p w:rsidR="00C43E65" w:rsidRPr="008B5730" w:rsidRDefault="00C43E65" w:rsidP="008B5730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trHeight w:val="10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A17DF6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B3036F" w:rsidRPr="00A17DF6">
              <w:rPr>
                <w:rFonts w:eastAsia="Arial Unicode MS"/>
                <w:bCs/>
              </w:rPr>
              <w:t xml:space="preserve"> </w:t>
            </w:r>
            <w:r w:rsidR="00B3036F" w:rsidRPr="00A17DF6">
              <w:rPr>
                <w:rFonts w:eastAsia="Arial Unicode MS"/>
                <w:bCs/>
                <w:sz w:val="24"/>
                <w:szCs w:val="24"/>
              </w:rPr>
              <w:t>Ғимараттар мен құрылыстардың найзағайдан қорғаныс құралдарын есептеу</w:t>
            </w:r>
          </w:p>
          <w:p w:rsidR="003A21C9" w:rsidRPr="00B3036F" w:rsidRDefault="003A21C9" w:rsidP="00105E29">
            <w:pPr>
              <w:jc w:val="both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</w:t>
            </w:r>
            <w:r w:rsidRPr="00BB74E9">
              <w:rPr>
                <w:color w:val="000000" w:themeColor="text1"/>
                <w:highlight w:val="white"/>
              </w:rPr>
              <w:t xml:space="preserve">СӨЖ </w:t>
            </w:r>
            <w:r w:rsidR="00CD7340" w:rsidRPr="00BB74E9">
              <w:rPr>
                <w:color w:val="000000" w:themeColor="text1"/>
                <w:highlight w:val="white"/>
                <w:lang w:val="kk-KZ"/>
              </w:rPr>
              <w:t>3</w:t>
            </w:r>
            <w:r w:rsidRPr="00BB74E9">
              <w:rPr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</w:p>
          <w:p w:rsidR="00D254A6" w:rsidRPr="00357F04" w:rsidRDefault="00D254A6" w:rsidP="0060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105E2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604949">
              <w:rPr>
                <w:sz w:val="24"/>
                <w:lang w:val="kk-KZ"/>
              </w:rPr>
              <w:t xml:space="preserve"> </w:t>
            </w:r>
            <w:r w:rsidR="008B5730" w:rsidRPr="00D746CF">
              <w:rPr>
                <w:color w:val="000000"/>
                <w:sz w:val="28"/>
                <w:szCs w:val="28"/>
                <w:lang w:val="kk-KZ"/>
              </w:rPr>
              <w:t>Өндіріс орындарындағы қазандардың, су қыздырғыштардың жылу генераторлорын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 xml:space="preserve"> талдау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Default="00571FCC" w:rsidP="00B3036F">
            <w:pPr>
              <w:rPr>
                <w:sz w:val="24"/>
                <w:lang w:val="kk-KZ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B3036F" w:rsidRPr="00B3036F" w:rsidRDefault="00B3036F" w:rsidP="00B3036F">
            <w:pPr>
              <w:rPr>
                <w:sz w:val="24"/>
              </w:rPr>
            </w:pPr>
            <w:r w:rsidRPr="00A17DF6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024AA2" w:rsidRDefault="00C43E65" w:rsidP="006300C9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Default="00DB23FF" w:rsidP="008B573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8B5730" w:rsidRPr="00D746CF">
              <w:rPr>
                <w:color w:val="000000"/>
                <w:sz w:val="28"/>
                <w:szCs w:val="28"/>
                <w:lang w:val="kk-KZ"/>
              </w:rPr>
              <w:t xml:space="preserve"> Қысыммен жұмыс жасайтын ыдыстард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>ы жобалау</w:t>
            </w:r>
          </w:p>
          <w:p w:rsidR="00C43E65" w:rsidRPr="008B5730" w:rsidRDefault="00C43E65" w:rsidP="00105E29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B3036F" w:rsidRDefault="00571FCC" w:rsidP="00B3036F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  <w:r w:rsidR="00B3036F" w:rsidRPr="00A17DF6">
              <w:rPr>
                <w:rFonts w:eastAsia="Arial Unicode MS"/>
                <w:bCs/>
                <w:sz w:val="24"/>
                <w:szCs w:val="24"/>
              </w:rPr>
              <w:t xml:space="preserve">Сыртқы қоршаудағы қауіпсіздік құрылымдарын есептеу жарылғыш </w:t>
            </w:r>
            <w:r w:rsidR="00B3036F" w:rsidRPr="00A17DF6">
              <w:rPr>
                <w:rFonts w:eastAsia="Arial Unicode MS"/>
                <w:bCs/>
                <w:sz w:val="24"/>
                <w:szCs w:val="24"/>
              </w:rPr>
              <w:lastRenderedPageBreak/>
              <w:t>аймақтар</w:t>
            </w:r>
          </w:p>
          <w:p w:rsidR="00C43E65" w:rsidRPr="00B3036F" w:rsidRDefault="00C43E65" w:rsidP="006300C9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Teams/Zoom </w:t>
            </w:r>
            <w:r>
              <w:lastRenderedPageBreak/>
              <w:t>да вебинар</w:t>
            </w:r>
          </w:p>
        </w:tc>
      </w:tr>
      <w:tr w:rsidR="00C43E65" w:rsidRPr="00DB23FF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105E29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8B5730">
              <w:rPr>
                <w:color w:val="000000"/>
                <w:sz w:val="28"/>
                <w:szCs w:val="28"/>
                <w:lang w:val="kk-KZ"/>
              </w:rPr>
              <w:t xml:space="preserve"> Техниканы</w:t>
            </w:r>
            <w:r w:rsidR="008B5730" w:rsidRPr="005F26E1">
              <w:rPr>
                <w:color w:val="000000"/>
                <w:sz w:val="28"/>
                <w:szCs w:val="28"/>
                <w:lang w:val="kk-KZ"/>
              </w:rPr>
              <w:t xml:space="preserve">  пайдалану кезіндегі  қауіпсіздік техникасы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Default="00571FCC" w:rsidP="00B3036F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B3036F">
              <w:rPr>
                <w:bCs/>
                <w:sz w:val="24"/>
                <w:lang w:val="kk-KZ"/>
              </w:rPr>
              <w:t xml:space="preserve"> </w:t>
            </w:r>
          </w:p>
          <w:p w:rsidR="00B3036F" w:rsidRPr="00B3036F" w:rsidRDefault="00B3036F" w:rsidP="00B3036F">
            <w:pPr>
              <w:jc w:val="both"/>
              <w:rPr>
                <w:bCs/>
                <w:sz w:val="24"/>
                <w:lang w:val="kk-KZ"/>
              </w:rPr>
            </w:pPr>
            <w:r w:rsidRPr="00B3036F">
              <w:rPr>
                <w:rFonts w:eastAsia="Arial Unicode MS"/>
                <w:bCs/>
                <w:sz w:val="24"/>
                <w:szCs w:val="24"/>
                <w:lang w:val="kk-KZ"/>
              </w:rPr>
              <w:t>Сыртқы қоршаудағы қауіпсіздік құрылымдарын есептеу жарылғыш аймақтар</w:t>
            </w:r>
          </w:p>
          <w:p w:rsidR="00071AA0" w:rsidRPr="00071AA0" w:rsidRDefault="00071AA0" w:rsidP="0088367C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</w:t>
            </w:r>
            <w:r w:rsidRPr="00BB74E9">
              <w:rPr>
                <w:color w:val="201F1E"/>
                <w:highlight w:val="white"/>
              </w:rPr>
              <w:t>СӨЖ 6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965" w:rsidRDefault="005D4965" w:rsidP="0088367C">
      <w:r>
        <w:separator/>
      </w:r>
    </w:p>
  </w:endnote>
  <w:endnote w:type="continuationSeparator" w:id="1">
    <w:p w:rsidR="005D4965" w:rsidRDefault="005D4965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965" w:rsidRDefault="005D4965" w:rsidP="0088367C">
      <w:r>
        <w:separator/>
      </w:r>
    </w:p>
  </w:footnote>
  <w:footnote w:type="continuationSeparator" w:id="1">
    <w:p w:rsidR="005D4965" w:rsidRDefault="005D4965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67A32"/>
    <w:rsid w:val="00071AA0"/>
    <w:rsid w:val="00087207"/>
    <w:rsid w:val="000D68FA"/>
    <w:rsid w:val="000E109B"/>
    <w:rsid w:val="00105E29"/>
    <w:rsid w:val="00131D32"/>
    <w:rsid w:val="00132B0A"/>
    <w:rsid w:val="0013512B"/>
    <w:rsid w:val="00135307"/>
    <w:rsid w:val="00146DF9"/>
    <w:rsid w:val="001777D0"/>
    <w:rsid w:val="001A2FFA"/>
    <w:rsid w:val="001C3BE3"/>
    <w:rsid w:val="001E2D27"/>
    <w:rsid w:val="002150F2"/>
    <w:rsid w:val="00231770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11DF7"/>
    <w:rsid w:val="00542284"/>
    <w:rsid w:val="00545EB0"/>
    <w:rsid w:val="00571FCC"/>
    <w:rsid w:val="005D0CF1"/>
    <w:rsid w:val="005D4965"/>
    <w:rsid w:val="005F3DEA"/>
    <w:rsid w:val="00601CA6"/>
    <w:rsid w:val="00604949"/>
    <w:rsid w:val="00617B2F"/>
    <w:rsid w:val="006260F0"/>
    <w:rsid w:val="006300C9"/>
    <w:rsid w:val="00636AFF"/>
    <w:rsid w:val="00646803"/>
    <w:rsid w:val="0065100A"/>
    <w:rsid w:val="0066623B"/>
    <w:rsid w:val="00671021"/>
    <w:rsid w:val="00682F41"/>
    <w:rsid w:val="00684ECB"/>
    <w:rsid w:val="006923FC"/>
    <w:rsid w:val="006F05EA"/>
    <w:rsid w:val="00721A98"/>
    <w:rsid w:val="007415C4"/>
    <w:rsid w:val="00745024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D68BE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5730"/>
    <w:rsid w:val="008B7E86"/>
    <w:rsid w:val="008D6CF0"/>
    <w:rsid w:val="008F3746"/>
    <w:rsid w:val="009305AE"/>
    <w:rsid w:val="00951585"/>
    <w:rsid w:val="009532EB"/>
    <w:rsid w:val="00954C15"/>
    <w:rsid w:val="009857FF"/>
    <w:rsid w:val="009937B0"/>
    <w:rsid w:val="00994CC7"/>
    <w:rsid w:val="009A5B43"/>
    <w:rsid w:val="009B166A"/>
    <w:rsid w:val="00A2494E"/>
    <w:rsid w:val="00A65DBD"/>
    <w:rsid w:val="00A70B37"/>
    <w:rsid w:val="00AA704A"/>
    <w:rsid w:val="00AB18FE"/>
    <w:rsid w:val="00B3036F"/>
    <w:rsid w:val="00B73B41"/>
    <w:rsid w:val="00BB74E9"/>
    <w:rsid w:val="00BE30ED"/>
    <w:rsid w:val="00BE3982"/>
    <w:rsid w:val="00C068F9"/>
    <w:rsid w:val="00C21D0A"/>
    <w:rsid w:val="00C25BC9"/>
    <w:rsid w:val="00C43E65"/>
    <w:rsid w:val="00CD7340"/>
    <w:rsid w:val="00D163AC"/>
    <w:rsid w:val="00D2444E"/>
    <w:rsid w:val="00D254A6"/>
    <w:rsid w:val="00D53FBB"/>
    <w:rsid w:val="00D6552F"/>
    <w:rsid w:val="00D67C08"/>
    <w:rsid w:val="00D746DF"/>
    <w:rsid w:val="00DB23FF"/>
    <w:rsid w:val="00DC7E08"/>
    <w:rsid w:val="00DD5367"/>
    <w:rsid w:val="00DD6435"/>
    <w:rsid w:val="00DD772F"/>
    <w:rsid w:val="00DE15AE"/>
    <w:rsid w:val="00DE2BDE"/>
    <w:rsid w:val="00E06F9E"/>
    <w:rsid w:val="00E10002"/>
    <w:rsid w:val="00E548F4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B04B0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  <w:style w:type="paragraph" w:styleId="afe">
    <w:name w:val="No Spacing"/>
    <w:uiPriority w:val="1"/>
    <w:qFormat/>
    <w:rsid w:val="008B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29D9-4C06-418F-B98F-433C493E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2021-01-27T06:42:00Z</dcterms:created>
  <dcterms:modified xsi:type="dcterms:W3CDTF">2021-01-27T06:42:00Z</dcterms:modified>
</cp:coreProperties>
</file>